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87" w:rsidRDefault="002C7587" w:rsidP="002C75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Информация по исполнению решений восемнадцатого заседания</w:t>
      </w:r>
    </w:p>
    <w:p w:rsidR="002C7587" w:rsidRDefault="002C7587" w:rsidP="002C75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Координационного совета представительных органов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местного самоуправления муниципальных образований Ханты-Мансийского автономного округа – Югры и Думы Ханты-Мансийского автономного округа – Югры </w:t>
      </w:r>
    </w:p>
    <w:p w:rsidR="002C7587" w:rsidRDefault="002C7587" w:rsidP="002C75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(заседание в городе Когалыме, 8 июня 2022 года)</w:t>
      </w:r>
    </w:p>
    <w:p w:rsidR="002C7587" w:rsidRDefault="002C7587" w:rsidP="002C75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7587" w:rsidRDefault="002C7587" w:rsidP="002C75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Пункт 2.</w:t>
      </w:r>
      <w:r>
        <w:rPr>
          <w:rFonts w:ascii="Times New Roman" w:hAnsi="Times New Roman" w:cs="Times New Roman"/>
          <w:sz w:val="28"/>
          <w:szCs w:val="28"/>
        </w:rPr>
        <w:t xml:space="preserve"> (Обратиться в Думу Ханты-Мансийского автономного </w:t>
      </w:r>
      <w:r>
        <w:rPr>
          <w:rFonts w:ascii="Times New Roman" w:hAnsi="Times New Roman" w:cs="Times New Roman"/>
          <w:sz w:val="28"/>
          <w:szCs w:val="28"/>
        </w:rPr>
        <w:br/>
        <w:t>округа – Югры с предложением провести мониторинг влияния запрета, установленного частью 3 статьи 116 Лесного кодекса Российской Федерации, на устойчивое развитие территорий, инженерной, транспортной и социальной инфраструктур муниципальных образований субъектов Российской Федерации, в том числе Ханты-Мансийского автономного округа – Югры, и о результатах мониторинга проинформировать Координационный совет).</w:t>
      </w:r>
    </w:p>
    <w:p w:rsidR="002B1A0C" w:rsidRDefault="002C7587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Результат.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A0C">
        <w:rPr>
          <w:rFonts w:ascii="Times New Roman" w:hAnsi="Times New Roman" w:cs="Times New Roman"/>
          <w:sz w:val="28"/>
          <w:szCs w:val="28"/>
        </w:rPr>
        <w:t>Во исполнение указанного Решения в адрес законодательных органов субъектов Российской Ф</w:t>
      </w:r>
      <w:r w:rsidR="007E3135">
        <w:rPr>
          <w:rFonts w:ascii="Times New Roman" w:hAnsi="Times New Roman" w:cs="Times New Roman"/>
          <w:sz w:val="28"/>
          <w:szCs w:val="28"/>
        </w:rPr>
        <w:t xml:space="preserve">едерации было направлено письмо от 31 августа </w:t>
      </w:r>
      <w:r w:rsidR="002B1A0C">
        <w:rPr>
          <w:rFonts w:ascii="Times New Roman" w:hAnsi="Times New Roman" w:cs="Times New Roman"/>
          <w:sz w:val="28"/>
          <w:szCs w:val="28"/>
        </w:rPr>
        <w:t>2022 года № 2009 за подписью Председателя Думы Ханты-Мансийского автономного округа – Югры Хохрякова Б.С. с запросом соответствующей информации. Аналогичный запрос был н</w:t>
      </w:r>
      <w:r w:rsidR="007E3135">
        <w:rPr>
          <w:rFonts w:ascii="Times New Roman" w:hAnsi="Times New Roman" w:cs="Times New Roman"/>
          <w:sz w:val="28"/>
          <w:szCs w:val="28"/>
        </w:rPr>
        <w:t xml:space="preserve">аправлен письмом от 31 августа </w:t>
      </w:r>
      <w:r w:rsidR="002B1A0C">
        <w:rPr>
          <w:rFonts w:ascii="Times New Roman" w:hAnsi="Times New Roman" w:cs="Times New Roman"/>
          <w:sz w:val="28"/>
          <w:szCs w:val="28"/>
        </w:rPr>
        <w:t xml:space="preserve">2022 года № 2006 в адрес заместителей Губернатора Ханты-Мансийского автономного округа – Югры </w:t>
      </w:r>
      <w:proofErr w:type="spellStart"/>
      <w:r w:rsidR="002B1A0C">
        <w:rPr>
          <w:rFonts w:ascii="Times New Roman" w:hAnsi="Times New Roman" w:cs="Times New Roman"/>
          <w:sz w:val="28"/>
          <w:szCs w:val="28"/>
        </w:rPr>
        <w:t>Ислаева</w:t>
      </w:r>
      <w:proofErr w:type="spellEnd"/>
      <w:r w:rsidR="002B1A0C">
        <w:rPr>
          <w:rFonts w:ascii="Times New Roman" w:hAnsi="Times New Roman" w:cs="Times New Roman"/>
          <w:sz w:val="28"/>
          <w:szCs w:val="28"/>
        </w:rPr>
        <w:t xml:space="preserve"> А.Ф. и </w:t>
      </w:r>
      <w:proofErr w:type="spellStart"/>
      <w:r w:rsidR="002B1A0C">
        <w:rPr>
          <w:rFonts w:ascii="Times New Roman" w:hAnsi="Times New Roman" w:cs="Times New Roman"/>
          <w:sz w:val="28"/>
          <w:szCs w:val="28"/>
        </w:rPr>
        <w:t>Забозлаева</w:t>
      </w:r>
      <w:proofErr w:type="spellEnd"/>
      <w:r w:rsidR="002B1A0C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7E3135" w:rsidRDefault="002B1A0C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запрос поступили ответы из 58 законодательных органов субъектов Российской Федерации, 16 из которых поддержали инициативу по корректировке части 3 статьи 116 Лесного кодекса Российской Федерации, устанавливающей императивный запрет на уменьшение площади городских лесов, 20 – не поддержали такую инициативу, 22 – воздержались от предложений по данному вопросу</w:t>
      </w:r>
      <w:r w:rsidR="007E3135">
        <w:rPr>
          <w:rFonts w:ascii="Times New Roman" w:hAnsi="Times New Roman" w:cs="Times New Roman"/>
          <w:sz w:val="28"/>
          <w:szCs w:val="28"/>
        </w:rPr>
        <w:t>.</w:t>
      </w:r>
    </w:p>
    <w:p w:rsidR="002B1A0C" w:rsidRDefault="002B1A0C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письме заместителя Губернатора Ханты-Мансийского автономного округа – Югры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Забозлаева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 от 17 ноября 2022 года № 01-Исх-АЗ-35553 (прилагается) сообщается о достаточности действующего правового регулирования на федеральном уровне для устойчивого развития автономного округа, о наличии на рассмотрении Государственной Думы Федерального Собрания Российской Федерации по данному вопросу проекта федерального закона № 190798-8, внесенного в качестве законодательной инициативы Законодательным Собранием Нижегородской области, и готовности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рассмотреть конкретные поправки в статью 116 Лесного кодекса Российской Федерации.</w:t>
      </w:r>
    </w:p>
    <w:p w:rsidR="002B1A0C" w:rsidRDefault="002B1A0C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письме Департамента пространственного развития и архитектуры Ханты-Мансийского автономного округа – Югры от 3 октября 2022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41-Исх-41 (прилагается), адресованном по поручению заместителя Губернатора Ханты-Мансийского автономного округа – Югры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 в Департамент недропользования и природных ресурсов Ханты-Мансийского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автономного округа – Югры, указывается на отсутствие предложений и в случае изменения законодательной базы готовность учесть такие изменения в документах территориального планирования.</w:t>
      </w:r>
      <w:proofErr w:type="gramEnd"/>
    </w:p>
    <w:p w:rsidR="002B1A0C" w:rsidRDefault="002B1A0C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мониторинга дополнительно сообщается следующее.</w:t>
      </w:r>
    </w:p>
    <w:p w:rsidR="002B1A0C" w:rsidRDefault="002B1A0C" w:rsidP="002B1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статьей 116 Лесного кодекса Российской Федерации к городским лесам относятся леса, расположенные на землях населенных пунктов в пределах одного муниципального образования. На землях населенных пунктов, на которых расположены леса, создаются лесничества (статья 23 Лесного кодекса Российской Федерации). Использование, охрана, защита, воспроизводство лесов, расположенных в границах лесничества, осуществляются в соответствии с лесохозяйственным регламентом лесничества.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Лесохозяйственные регламенты лесничеств, расположенных на землях, находящихся в муниципальной собственности, и землях населенных пунктов, на которых расположены городские леса, утверждаются органами местного самоуправления (статья 87 Лесного кодекса Российской Федерации).</w:t>
      </w:r>
    </w:p>
    <w:p w:rsidR="002B1A0C" w:rsidRDefault="002B1A0C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Порядок создания лесничеств на землях населенных пунктов, занятых городскими лесами, разъяснен в письме Федерального агентства лесного хозяйства от 23 марта 2022 года № ИС-55-54/6687 (прилагается).</w:t>
      </w:r>
    </w:p>
    <w:p w:rsidR="002B1A0C" w:rsidRDefault="002B1A0C" w:rsidP="002B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 рассмотрении Государственной Думы Федерального Собрания Российской Федерации находится проект федерального закона № 190798-8 </w:t>
      </w:r>
      <w:r>
        <w:rPr>
          <w:rFonts w:ascii="Times New Roman" w:hAnsi="Times New Roman" w:cs="Times New Roman"/>
          <w:sz w:val="28"/>
          <w:szCs w:val="28"/>
        </w:rPr>
        <w:br/>
        <w:t>"О внесении изменения в статью 116 Лесного кодекса Российской Федерации", внесенный в качестве законодательной инициативы Законодательным Собранием Нижегородской области 5 сентября 2022 года. Указанный законопроект направлен на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снятие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строительство линий связи, линий электропередачи, сетей газоснабжения, теплоснабжения, водоснабжения и водоотведения в городских лесах. Часть ответов законодательных органов субъектов Российской Федерации, указанных в настоящей справке, содержит ссылку на данный законопроект как направленный на решение вопросов, связанных с устойчивым развитием территорий. </w:t>
      </w:r>
    </w:p>
    <w:p w:rsidR="002B1A0C" w:rsidRDefault="002B1A0C" w:rsidP="002B1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комитетом по законопроекту назначен Комитет Государственной Думы по экологии, природным ресурсам и охране окружающей среды, комитетом-соисполнителем – Комитет Государственной Думы по энергетике. Законопрое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ючен в примерную программу (осенняя сессия 2022 года, ноябрь). </w:t>
      </w:r>
    </w:p>
    <w:p w:rsidR="007E3135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C7587" w:rsidRDefault="007E3135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C7587">
        <w:rPr>
          <w:rFonts w:ascii="Times New Roman" w:hAnsi="Times New Roman" w:cs="Times New Roman"/>
          <w:b/>
          <w:sz w:val="28"/>
          <w:szCs w:val="28"/>
        </w:rPr>
        <w:t xml:space="preserve">Пункт 3. </w:t>
      </w:r>
      <w:proofErr w:type="gramStart"/>
      <w:r w:rsidR="002C7587">
        <w:rPr>
          <w:rFonts w:ascii="Times New Roman" w:hAnsi="Times New Roman" w:cs="Times New Roman"/>
          <w:sz w:val="28"/>
          <w:szCs w:val="28"/>
        </w:rPr>
        <w:t>(Обратиться в Департамент промышленности Ханты-Мансийского автономного округа – Югры с предложением:</w:t>
      </w:r>
      <w:proofErr w:type="gramEnd"/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рассмотреть возможность внесения в государственную программу Ханты-Мансийского автономного округа – Югры "Экологическая безопасность" мероприятия по содержанию площадок временного накопления твердых коммунальных отходов;</w:t>
      </w:r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2) выразить мнение о необходимости внесения изменения в постановление Правительства Российской Федерации от 30 мая 2016 года </w:t>
      </w:r>
      <w:r>
        <w:rPr>
          <w:rFonts w:ascii="Times New Roman" w:hAnsi="Times New Roman" w:cs="Times New Roman"/>
          <w:sz w:val="28"/>
          <w:szCs w:val="28"/>
        </w:rPr>
        <w:br/>
        <w:t>№ 484 "О ценообразовании в области обращения с твердыми коммунальными отходами" в части включения в тариф регионального оператора в области обращения с твердыми коммунальными отходами расходов на содержание мест (площадок) накопления твердых коммунальных отходов.</w:t>
      </w:r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Результат.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письму Департамента промышленности Ханты-Мансийского автономного округа – Югры от 26 августа 2022 года </w:t>
      </w:r>
      <w:r>
        <w:rPr>
          <w:rFonts w:ascii="Times New Roman" w:hAnsi="Times New Roman" w:cs="Times New Roman"/>
          <w:sz w:val="28"/>
          <w:szCs w:val="28"/>
        </w:rPr>
        <w:br/>
        <w:t>№ 38-Исх-6053 Департамент поддерживает позицию о необходимости внесения изменений в постановление Правительства Российской Федерации от 30 мая 2016 года № 484 "О ценообразовании в области обращения с твердыми коммунальными отходами" в части включения в тариф регионального оператора в области обращения с твердыми коммунальными отходами расходов на содержание мест (площадок</w:t>
      </w:r>
      <w:proofErr w:type="gramEnd"/>
      <w:r>
        <w:rPr>
          <w:rFonts w:ascii="Times New Roman" w:hAnsi="Times New Roman" w:cs="Times New Roman"/>
          <w:sz w:val="28"/>
          <w:szCs w:val="28"/>
        </w:rPr>
        <w:t>) накопления твердых коммунальных отходов.</w:t>
      </w:r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Вместе с этим Департамент промышленности Ханты-Мансийского автономного округа – Югры сообщил, что на федеральном уровне в соответствии с протоколом заседания Правительственной комиссии по вопросам обращения с отходами производства и потребления от 21 апреля 2022 года Минприроды России совместно с ФАС России,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публично-правовой компанией "Российский экологический оператор" поручено внести в установленном порядке в Правительство Российской Федерации проект нормативного правового акта</w:t>
      </w:r>
      <w:proofErr w:type="gramEnd"/>
      <w:r>
        <w:rPr>
          <w:rFonts w:ascii="Times New Roman" w:hAnsi="Times New Roman" w:cs="Times New Roman"/>
          <w:sz w:val="28"/>
          <w:szCs w:val="28"/>
        </w:rPr>
        <w:t>, регулирующего отношения, связанные с временным накоплением ТКО и использованием объектов перегрузки ТКО, включая учет расходов на создание и эксплуатацию указанных объектов при установлении тарифов на услуги региональных операторов по обращению с ТКО.</w:t>
      </w:r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 изменения федерального правового регулирования Департаментом промышленности автономного округа ведется работа по согласованию выделения финансовых средств из резервного фонда автономного округа на мероприятие по созданию двадцати трех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инсинераторных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 для термического обезвреживания ТКО в границах территорий площадок их временного накопления с целью включения указанных затрат в тариф регионального оператора АО "Югра-Экология". </w:t>
      </w:r>
      <w:proofErr w:type="gramEnd"/>
    </w:p>
    <w:p w:rsidR="007E3135" w:rsidRDefault="002C7587" w:rsidP="002C75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7587" w:rsidRPr="002C7587" w:rsidRDefault="007E3135" w:rsidP="002C75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7587" w:rsidRPr="002C7587">
        <w:rPr>
          <w:rFonts w:ascii="Times New Roman" w:hAnsi="Times New Roman" w:cs="Times New Roman"/>
          <w:b/>
          <w:sz w:val="28"/>
          <w:szCs w:val="28"/>
        </w:rPr>
        <w:t>Пункт 7.</w:t>
      </w:r>
      <w:r w:rsidR="002C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E4C2B">
        <w:rPr>
          <w:rFonts w:ascii="Times New Roman" w:hAnsi="Times New Roman" w:cs="Times New Roman"/>
          <w:b/>
          <w:sz w:val="28"/>
          <w:szCs w:val="28"/>
        </w:rPr>
        <w:t>(</w:t>
      </w:r>
      <w:r w:rsidR="002C7587" w:rsidRPr="002C7587">
        <w:rPr>
          <w:rFonts w:ascii="Times New Roman" w:hAnsi="Times New Roman" w:cs="Times New Roman"/>
          <w:sz w:val="28"/>
          <w:szCs w:val="28"/>
        </w:rPr>
        <w:t xml:space="preserve">Рекомендовать Думе Ханты-Мансийского автономного округа – Югры обратиться </w:t>
      </w:r>
      <w:r w:rsidR="002C7587" w:rsidRPr="002C7587">
        <w:rPr>
          <w:rFonts w:ascii="Times New Roman" w:hAnsi="Times New Roman" w:cs="Times New Roman"/>
          <w:bCs/>
          <w:sz w:val="28"/>
          <w:szCs w:val="28"/>
        </w:rPr>
        <w:t>к Министру труда и социаль</w:t>
      </w:r>
      <w:r w:rsidR="002C7587">
        <w:rPr>
          <w:rFonts w:ascii="Times New Roman" w:hAnsi="Times New Roman" w:cs="Times New Roman"/>
          <w:bCs/>
          <w:sz w:val="28"/>
          <w:szCs w:val="28"/>
        </w:rPr>
        <w:t>ной защиты Российской Федерации</w:t>
      </w:r>
      <w:r w:rsidR="005676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C7587" w:rsidRPr="002C7587">
        <w:rPr>
          <w:rFonts w:ascii="Times New Roman" w:hAnsi="Times New Roman" w:cs="Times New Roman"/>
          <w:bCs/>
          <w:sz w:val="28"/>
          <w:szCs w:val="28"/>
        </w:rPr>
        <w:t>Котякову</w:t>
      </w:r>
      <w:proofErr w:type="spellEnd"/>
      <w:r w:rsidR="002C7587" w:rsidRPr="002C7587">
        <w:rPr>
          <w:rFonts w:ascii="Times New Roman" w:hAnsi="Times New Roman" w:cs="Times New Roman"/>
          <w:bCs/>
          <w:sz w:val="28"/>
          <w:szCs w:val="28"/>
        </w:rPr>
        <w:t xml:space="preserve"> А.О. </w:t>
      </w:r>
      <w:r w:rsidR="002C7587" w:rsidRPr="002C7587">
        <w:rPr>
          <w:rFonts w:ascii="Times New Roman" w:hAnsi="Times New Roman" w:cs="Times New Roman"/>
          <w:sz w:val="28"/>
          <w:szCs w:val="28"/>
        </w:rPr>
        <w:t>с инициативой о внесении изменений в постановление Правительства Российской Федераци</w:t>
      </w:r>
      <w:r w:rsidR="002C7587">
        <w:rPr>
          <w:rFonts w:ascii="Times New Roman" w:hAnsi="Times New Roman" w:cs="Times New Roman"/>
          <w:sz w:val="28"/>
          <w:szCs w:val="28"/>
        </w:rPr>
        <w:t xml:space="preserve">и от 2 ноября 2021 года № 1909 </w:t>
      </w:r>
      <w:r w:rsidR="002C7587" w:rsidRPr="002C7587">
        <w:rPr>
          <w:rFonts w:ascii="Times New Roman" w:hAnsi="Times New Roman" w:cs="Times New Roman"/>
          <w:sz w:val="28"/>
          <w:szCs w:val="28"/>
        </w:rPr>
        <w:t>"О регистрации граждан в целях поиска подходящей работы, регистрации безработных граждан, требованиях к подбору подходящей работы, внесении изменения в постановление Правительства Российской Федерации от 8 апреля</w:t>
      </w:r>
      <w:proofErr w:type="gramEnd"/>
      <w:r w:rsidR="002C7587" w:rsidRPr="002C7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7587" w:rsidRPr="002C7587">
        <w:rPr>
          <w:rFonts w:ascii="Times New Roman" w:hAnsi="Times New Roman" w:cs="Times New Roman"/>
          <w:sz w:val="28"/>
          <w:szCs w:val="28"/>
        </w:rPr>
        <w:t xml:space="preserve">2020 г. № 460, а также о признании утратившими </w:t>
      </w:r>
      <w:r w:rsidR="002C7587" w:rsidRPr="002C7587">
        <w:rPr>
          <w:rFonts w:ascii="Times New Roman" w:hAnsi="Times New Roman" w:cs="Times New Roman"/>
          <w:sz w:val="28"/>
          <w:szCs w:val="28"/>
        </w:rPr>
        <w:lastRenderedPageBreak/>
        <w:t>силу некоторых актов и отдельных положений некоторых актов Правительства Российской Федерации" в части замены обязательной явки граждан из труднодоступных и отдаленных населенных пунктов на регистрацию и перерегистрацию в качестве безработных дистанционным форматом в режиме видео-конференц-связи</w:t>
      </w:r>
      <w:r w:rsidR="001E4C2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C7587" w:rsidRDefault="002C7587" w:rsidP="002C75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Результат. </w:t>
      </w:r>
    </w:p>
    <w:p w:rsidR="00B149DF" w:rsidRDefault="00B149DF" w:rsidP="00B149D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 w:rsidRPr="00B149DF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сентября 2022 года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за  </w:t>
      </w:r>
      <w:r w:rsidRPr="00B149DF">
        <w:rPr>
          <w:rFonts w:ascii="Times New Roman" w:eastAsia="Times New Roman" w:hAnsi="Times New Roman" w:cs="Times New Roman"/>
          <w:sz w:val="28"/>
          <w:szCs w:val="28"/>
          <w:lang w:eastAsia="ru-RU"/>
        </w:rPr>
        <w:t>№ 472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ринято</w:t>
      </w:r>
      <w:r w:rsidRPr="00B149D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hyperlink r:id="rId7" w:anchor="sub_10" w:history="1">
        <w:r w:rsidRPr="00B149DF">
          <w:rPr>
            <w:rFonts w:ascii="Times New Roman" w:eastAsia="Calibri" w:hAnsi="Times New Roman" w:cs="Times New Roman"/>
            <w:spacing w:val="-4"/>
            <w:sz w:val="28"/>
            <w:szCs w:val="28"/>
          </w:rPr>
          <w:t>обращение</w:t>
        </w:r>
      </w:hyperlink>
      <w:r w:rsidRPr="00B149D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Думы Ханты-Мансийского автономного округа </w:t>
      </w:r>
      <w:r w:rsidRPr="00B149D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r w:rsidRPr="00B149D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B149DF">
        <w:rPr>
          <w:rFonts w:ascii="Times New Roman" w:eastAsia="Calibri" w:hAnsi="Times New Roman" w:cs="Times New Roman"/>
          <w:spacing w:val="-4"/>
          <w:sz w:val="28"/>
          <w:szCs w:val="28"/>
        </w:rPr>
        <w:t>Югры</w:t>
      </w:r>
      <w:r w:rsidRPr="00B149D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к </w:t>
      </w:r>
      <w:r w:rsidRPr="00B149D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Министру труда и социальной защиты Российской Федерации </w:t>
      </w:r>
      <w:r w:rsidRPr="00B14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А.О. </w:t>
      </w:r>
      <w:proofErr w:type="spellStart"/>
      <w:r w:rsidRPr="00B14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Котякову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B14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вопросу инициирования внесения изменений в </w:t>
      </w:r>
      <w:r w:rsidRPr="00B14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 ноября 2021 года № 1909 "О регистрации граждан в целях поиска подходящей работы, регистрации безработных граждан, требованиях к подбору подходящей работы, внесении изменения в постановление</w:t>
      </w:r>
      <w:proofErr w:type="gramEnd"/>
      <w:r w:rsidRPr="00B14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8 апреля 2020 г. № 460, а также о признании утратившими силу некоторых актов и отдельных положений некоторых актов Правительства Российской Федерации"</w:t>
      </w:r>
      <w:r w:rsidRPr="00B149DF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B149DF">
        <w:rPr>
          <w:rFonts w:ascii="Times New Roman" w:hAnsi="Times New Roman" w:cs="Times New Roman"/>
          <w:color w:val="000000" w:themeColor="text1"/>
          <w:sz w:val="28"/>
          <w:szCs w:val="28"/>
        </w:rPr>
        <w:t>В Ханты-Мансийском автономном округе – Югре имеется большое количество населенных пунктов, тран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t>спортная доступность которых обеспечена не круглогодично.</w:t>
      </w:r>
      <w:proofErr w:type="gramEnd"/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49D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До многих населенных пунктов можно добраться только водным 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(в летний период) или воздушным транспортом. Но в соответствии с расписаниями движение данных видов транспорта осуществляется не ежедневно. </w:t>
      </w:r>
      <w:r w:rsidRPr="00B14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в связи с изменениями погодных условий в расписания движения 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t>вносятся изменения, рейсы водного и воздушного транспорта переносятся на другие дни.</w:t>
      </w:r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49D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 вышеуказанным причинам граждане из труднодоступных и отдаленных </w:t>
      </w:r>
      <w:r w:rsidRPr="00B14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населенных пунктов не могут 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t xml:space="preserve">явиться в </w:t>
      </w:r>
      <w:r w:rsidRPr="00B149DF">
        <w:rPr>
          <w:rFonts w:ascii="Times New Roman" w:hAnsi="Times New Roman" w:cs="Times New Roman"/>
          <w:sz w:val="28"/>
          <w:szCs w:val="28"/>
        </w:rPr>
        <w:t>центры занятости населения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t xml:space="preserve"> и вернуться обратно в течение одного дня.</w:t>
      </w:r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9D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Необходимо отметить, что кроме немалых затрат на билеты граждане должны в течение нескольких дней нести расходы, связанные с проживанием и питанием в населенных пунктах по месту нахождения </w:t>
      </w:r>
      <w:r w:rsidRPr="00B149DF">
        <w:rPr>
          <w:rFonts w:ascii="Times New Roman" w:hAnsi="Times New Roman" w:cs="Times New Roman"/>
          <w:sz w:val="28"/>
          <w:szCs w:val="28"/>
        </w:rPr>
        <w:t>центров занятости населения.</w:t>
      </w:r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9DF">
        <w:rPr>
          <w:rFonts w:ascii="Times New Roman" w:hAnsi="Times New Roman" w:cs="Times New Roman"/>
          <w:sz w:val="28"/>
          <w:szCs w:val="28"/>
        </w:rPr>
        <w:tab/>
        <w:t>Нередко данные расходы значительно превышают величину пособия по безработице, что сказывается на финансовом положении граждан и их семей.</w:t>
      </w:r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9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Возможно</w:t>
      </w:r>
      <w:r w:rsidRPr="00B149DF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 w:rsidRPr="00B149DF">
        <w:rPr>
          <w:rFonts w:ascii="Times New Roman" w:hAnsi="Times New Roman" w:cs="Times New Roman"/>
          <w:sz w:val="28"/>
          <w:szCs w:val="28"/>
        </w:rPr>
        <w:t>аналогичные проблемы</w:t>
      </w:r>
      <w:proofErr w:type="gramEnd"/>
      <w:r w:rsidRPr="00B149DF">
        <w:rPr>
          <w:rFonts w:ascii="Times New Roman" w:hAnsi="Times New Roman" w:cs="Times New Roman"/>
          <w:sz w:val="28"/>
          <w:szCs w:val="28"/>
        </w:rPr>
        <w:t xml:space="preserve"> возникают также у граждан, проживающих в других субъектах Российской Федерации.</w:t>
      </w:r>
    </w:p>
    <w:p w:rsidR="00B149DF" w:rsidRPr="00B149DF" w:rsidRDefault="00B149DF" w:rsidP="00B149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9D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149DF">
        <w:rPr>
          <w:rFonts w:ascii="Times New Roman" w:hAnsi="Times New Roman" w:cs="Times New Roman"/>
          <w:sz w:val="28"/>
          <w:szCs w:val="28"/>
        </w:rPr>
        <w:t xml:space="preserve">В соответствии с изложенным просим </w:t>
      </w:r>
      <w:r w:rsidRPr="00B149DF">
        <w:rPr>
          <w:rFonts w:ascii="Times New Roman" w:hAnsi="Times New Roman"/>
          <w:bCs/>
          <w:sz w:val="28"/>
          <w:szCs w:val="28"/>
        </w:rPr>
        <w:t xml:space="preserve">Министерство труда и социальной защиты Российской Федерации инициировать внесение изменений в </w:t>
      </w:r>
      <w:r w:rsidRPr="00B149DF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</w:t>
      </w:r>
      <w:r w:rsidRPr="00B149DF">
        <w:rPr>
          <w:rFonts w:ascii="Times New Roman" w:hAnsi="Times New Roman" w:cs="Times New Roman"/>
          <w:sz w:val="28"/>
          <w:szCs w:val="28"/>
        </w:rPr>
        <w:br/>
        <w:t xml:space="preserve">от 2 ноября 2021 года № 1909 "О регистрации граждан в целях поиска подходящей работы, регистрации безработных граждан, требованиях к подбору подходящей работы, внесении изменения в постановление Правительства Российской Федерации от 8 апреля 2020 г. № 460, а также о </w:t>
      </w:r>
      <w:r w:rsidRPr="00B149DF">
        <w:rPr>
          <w:rFonts w:ascii="Times New Roman" w:hAnsi="Times New Roman" w:cs="Times New Roman"/>
          <w:sz w:val="28"/>
          <w:szCs w:val="28"/>
        </w:rPr>
        <w:lastRenderedPageBreak/>
        <w:t>признании утратившими</w:t>
      </w:r>
      <w:proofErr w:type="gramEnd"/>
      <w:r w:rsidRPr="00B149DF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некоторых актов Правительства Российской Федерации" в части замены обязательной явки граждан из труднодоступных и отдаленных населенных пунктов для регистрации безработными, а также перерегистрации безработных граждан на дистанционный формат с использованием режима видео-конференц-связи.</w:t>
      </w:r>
    </w:p>
    <w:p w:rsidR="00B149DF" w:rsidRPr="00B149DF" w:rsidRDefault="00B149DF" w:rsidP="00B14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49DF">
        <w:rPr>
          <w:rFonts w:ascii="Times New Roman" w:hAnsi="Times New Roman" w:cs="Times New Roman"/>
          <w:sz w:val="28"/>
          <w:szCs w:val="28"/>
        </w:rPr>
        <w:tab/>
        <w:t>Кроме того,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Pr="00B149DF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t>перечень труднодоступных и отдаленных населенных пунктов.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Предполагается</w:t>
      </w:r>
      <w:r w:rsidRPr="00B149DF">
        <w:rPr>
          <w:rFonts w:ascii="Times New Roman" w:hAnsi="Times New Roman" w:cs="Times New Roman"/>
          <w:sz w:val="28"/>
          <w:szCs w:val="28"/>
        </w:rPr>
        <w:t xml:space="preserve">, что данный перечень может быть утвержден </w:t>
      </w:r>
      <w:r w:rsidRPr="00B149DF">
        <w:rPr>
          <w:rFonts w:ascii="Times New Roman" w:hAnsi="Times New Roman" w:cs="Times New Roman"/>
          <w:color w:val="000000"/>
          <w:sz w:val="28"/>
          <w:szCs w:val="28"/>
        </w:rPr>
        <w:t>на федеральном уровне либо возможно делегирование его утверждения субъектам Российской Федерации.</w:t>
      </w:r>
    </w:p>
    <w:p w:rsidR="00B149DF" w:rsidRPr="00B149DF" w:rsidRDefault="00B149DF" w:rsidP="00B14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149DF" w:rsidRPr="00B149DF" w:rsidRDefault="00B149DF" w:rsidP="00B149D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9DF" w:rsidRPr="00B149DF" w:rsidRDefault="00B149DF" w:rsidP="00B149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149DF" w:rsidRPr="002C7587" w:rsidRDefault="00B149DF" w:rsidP="002C75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BF7" w:rsidRDefault="008D6BF7"/>
    <w:sectPr w:rsidR="008D6BF7" w:rsidSect="00DB4F4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D2B" w:rsidRDefault="00B63D2B" w:rsidP="007E3135">
      <w:pPr>
        <w:spacing w:after="0" w:line="240" w:lineRule="auto"/>
      </w:pPr>
      <w:r>
        <w:separator/>
      </w:r>
    </w:p>
  </w:endnote>
  <w:endnote w:type="continuationSeparator" w:id="0">
    <w:p w:rsidR="00B63D2B" w:rsidRDefault="00B63D2B" w:rsidP="007E3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D2B" w:rsidRDefault="00B63D2B" w:rsidP="007E3135">
      <w:pPr>
        <w:spacing w:after="0" w:line="240" w:lineRule="auto"/>
      </w:pPr>
      <w:r>
        <w:separator/>
      </w:r>
    </w:p>
  </w:footnote>
  <w:footnote w:type="continuationSeparator" w:id="0">
    <w:p w:rsidR="00B63D2B" w:rsidRDefault="00B63D2B" w:rsidP="007E3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251621"/>
      <w:docPartObj>
        <w:docPartGallery w:val="Page Numbers (Top of Page)"/>
        <w:docPartUnique/>
      </w:docPartObj>
    </w:sdtPr>
    <w:sdtEndPr/>
    <w:sdtContent>
      <w:p w:rsidR="007E3135" w:rsidRDefault="007E313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4D">
          <w:rPr>
            <w:noProof/>
          </w:rPr>
          <w:t>5</w:t>
        </w:r>
        <w:r>
          <w:fldChar w:fldCharType="end"/>
        </w:r>
      </w:p>
    </w:sdtContent>
  </w:sdt>
  <w:p w:rsidR="007E3135" w:rsidRDefault="007E31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753164"/>
      <w:docPartObj>
        <w:docPartGallery w:val="Page Numbers (Top of Page)"/>
        <w:docPartUnique/>
      </w:docPartObj>
    </w:sdtPr>
    <w:sdtContent>
      <w:p w:rsidR="00DB4F4D" w:rsidRDefault="00DB4F4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B4F4D" w:rsidRDefault="00DB4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87"/>
    <w:rsid w:val="001D3C3F"/>
    <w:rsid w:val="001E4C2B"/>
    <w:rsid w:val="002B1A0C"/>
    <w:rsid w:val="002C7587"/>
    <w:rsid w:val="003D7EC5"/>
    <w:rsid w:val="005676A4"/>
    <w:rsid w:val="006978C0"/>
    <w:rsid w:val="007E3135"/>
    <w:rsid w:val="008D6BF7"/>
    <w:rsid w:val="00B149DF"/>
    <w:rsid w:val="00B63D2B"/>
    <w:rsid w:val="00D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8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135"/>
  </w:style>
  <w:style w:type="paragraph" w:styleId="a5">
    <w:name w:val="footer"/>
    <w:basedOn w:val="a"/>
    <w:link w:val="a6"/>
    <w:uiPriority w:val="99"/>
    <w:unhideWhenUsed/>
    <w:rsid w:val="007E3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8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135"/>
  </w:style>
  <w:style w:type="paragraph" w:styleId="a5">
    <w:name w:val="footer"/>
    <w:basedOn w:val="a"/>
    <w:link w:val="a6"/>
    <w:uiPriority w:val="99"/>
    <w:unhideWhenUsed/>
    <w:rsid w:val="007E3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SolodskayaON\AppData\Local\Microsoft\Windows\Temporary%20Internet%20Files\Content.Outlook\YWHL9D4U\&#1054;&#1041;&#1056;&#1040;&#1065;&#1045;&#1053;&#1048;&#1045;%20&#1042;%20&#1043;&#1044;%20&#1056;&#1060;\&#1054;&#1073;&#1088;&#1072;&#1097;&#1077;&#1085;&#1080;&#1077;%20&#1074;%20&#1055;&#1088;&#1072;&#1074;&#1080;&#1090;&#1077;&#1083;&#1100;&#1089;&#1090;&#1074;&#1086;%20&#1056;&#1060;%20(&#1089;&#1086;&#1094;%20&#1085;&#1086;&#1088;&#1084;&#1072;)%20(380519%20v2)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Павловская Вера Викторовна</dc:creator>
  <cp:lastModifiedBy>Павловская Вера Викторовна</cp:lastModifiedBy>
  <cp:revision>8</cp:revision>
  <dcterms:created xsi:type="dcterms:W3CDTF">2022-11-18T05:34:00Z</dcterms:created>
  <dcterms:modified xsi:type="dcterms:W3CDTF">2022-11-23T09:59:00Z</dcterms:modified>
</cp:coreProperties>
</file>